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Государственный контроль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контроль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«Государственный контроль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«Государственный контроль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основы гражданского, бюджетного, трудового и административного законодательства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рассчитывать степень влияния ценообразующих параметров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обобщать полученную информацию, статистически ее обрабатывать и формулировать аналитические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ведения учета информационных ресурсов проведения закупочных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составления заключения по результатам проведенного анализа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«Государственный контроль в профессиональной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"Жалоба"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сфере государственных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полномочия органа власти по закупкам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контроля в профессиональной деятельности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Понятие «контрактной системы», «закупки», «государственный заказчик» и «муниципальный заказчик».</w:t>
            </w:r>
          </w:p>
          <w:p>
            <w:pPr>
              <w:jc w:val="both"/>
              <w:spacing w:after="0" w:line="240" w:lineRule="auto"/>
              <w:rPr>
                <w:sz w:val="24"/>
                <w:szCs w:val="24"/>
              </w:rPr>
            </w:pPr>
            <w:r>
              <w:rPr>
                <w:rFonts w:ascii="Times New Roman" w:hAnsi="Times New Roman" w:cs="Times New Roman"/>
                <w:color w:val="#000000"/>
                <w:sz w:val="24"/>
                <w:szCs w:val="24"/>
              </w:rPr>
              <w:t> Единая информационная система в системе закупок. Порядок размещения информации на официальном сайте. Организация электронного оборота в сфере закупок. Принципы контрактной системы в сфере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закупок</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Планы и планы-графики закупок. Основные элементы планов закупок: идентификационный код закупки, цель осуществления закупки, наименование объекта и (или) объектов закупки; объем финансового обеспечения для осуществления закупки; сроки (периодичность) осуществления планируемых закупок; обоснование закупки.</w:t>
            </w:r>
          </w:p>
          <w:p>
            <w:pPr>
              <w:jc w:val="both"/>
              <w:spacing w:after="0" w:line="240" w:lineRule="auto"/>
              <w:rPr>
                <w:sz w:val="24"/>
                <w:szCs w:val="24"/>
              </w:rPr>
            </w:pPr>
            <w:r>
              <w:rPr>
                <w:rFonts w:ascii="Times New Roman" w:hAnsi="Times New Roman" w:cs="Times New Roman"/>
                <w:color w:val="#000000"/>
                <w:sz w:val="24"/>
                <w:szCs w:val="24"/>
              </w:rPr>
              <w:t> Информация об обязательном общественном обсуждении закупки товара, работы или услуги.</w:t>
            </w:r>
          </w:p>
          <w:p>
            <w:pPr>
              <w:jc w:val="both"/>
              <w:spacing w:after="0" w:line="240" w:lineRule="auto"/>
              <w:rPr>
                <w:sz w:val="24"/>
                <w:szCs w:val="24"/>
              </w:rPr>
            </w:pPr>
            <w:r>
              <w:rPr>
                <w:rFonts w:ascii="Times New Roman" w:hAnsi="Times New Roman" w:cs="Times New Roman"/>
                <w:color w:val="#000000"/>
                <w:sz w:val="24"/>
                <w:szCs w:val="24"/>
              </w:rPr>
              <w:t> Изменение планов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в сфере закупок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Мониторинг закупок. Аудит закупок.</w:t>
            </w:r>
          </w:p>
          <w:p>
            <w:pPr>
              <w:jc w:val="both"/>
              <w:spacing w:after="0" w:line="240" w:lineRule="auto"/>
              <w:rPr>
                <w:sz w:val="24"/>
                <w:szCs w:val="24"/>
              </w:rPr>
            </w:pPr>
            <w:r>
              <w:rPr>
                <w:rFonts w:ascii="Times New Roman" w:hAnsi="Times New Roman" w:cs="Times New Roman"/>
                <w:color w:val="#000000"/>
                <w:sz w:val="24"/>
                <w:szCs w:val="24"/>
              </w:rPr>
              <w:t> Функции и полномочия государственных органов в сфере контроля закупок.</w:t>
            </w:r>
          </w:p>
          <w:p>
            <w:pPr>
              <w:jc w:val="both"/>
              <w:spacing w:after="0" w:line="240" w:lineRule="auto"/>
              <w:rPr>
                <w:sz w:val="24"/>
                <w:szCs w:val="24"/>
              </w:rPr>
            </w:pPr>
            <w:r>
              <w:rPr>
                <w:rFonts w:ascii="Times New Roman" w:hAnsi="Times New Roman" w:cs="Times New Roman"/>
                <w:color w:val="#000000"/>
                <w:sz w:val="24"/>
                <w:szCs w:val="24"/>
              </w:rPr>
              <w:t> Органы ведомственного контроля в сфере закупок. Контроль со стороны заказчика. Общественный контроль.</w:t>
            </w:r>
          </w:p>
          <w:p>
            <w:pPr>
              <w:jc w:val="both"/>
              <w:spacing w:after="0" w:line="240" w:lineRule="auto"/>
              <w:rPr>
                <w:sz w:val="24"/>
                <w:szCs w:val="24"/>
              </w:rPr>
            </w:pPr>
            <w:r>
              <w:rPr>
                <w:rFonts w:ascii="Times New Roman" w:hAnsi="Times New Roman" w:cs="Times New Roman"/>
                <w:color w:val="#000000"/>
                <w:sz w:val="24"/>
                <w:szCs w:val="24"/>
              </w:rPr>
              <w:t> Реестр недобросовестных поставщиков.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"Жалоба"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сфере государственных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полномочия органа власти по закупкам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«Государственный контроль в профессиональной деятельности»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2022-2023_ФГОС3++2022_Бак-ЗФО-ТД(ОиУЗД)(22)_plx_Государственный контроль в профессиональной деятельности</dc:title>
  <dc:creator>FastReport.NET</dc:creator>
</cp:coreProperties>
</file>